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12779140472412" w:lineRule="auto"/>
        <w:ind w:left="40" w:right="3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810546875" w:line="240" w:lineRule="auto"/>
        <w:ind w:left="0" w:right="3847.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Merkel P-TECH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 S. 7th St.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Merkel, TX 79536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82275390625" w:line="240" w:lineRule="auto"/>
        <w:ind w:left="0" w:right="1434.12170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P-TECH Strategic Alliances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444580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Industry and Higher Education Partners</w:t>
      </w:r>
    </w:p>
    <w:tbl>
      <w:tblPr>
        <w:tblStyle w:val="Table1"/>
        <w:tblW w:w="952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560"/>
        <w:gridCol w:w="1515"/>
        <w:gridCol w:w="4545"/>
        <w:tblGridChange w:id="0">
          <w:tblGrid>
            <w:gridCol w:w="1905"/>
            <w:gridCol w:w="1560"/>
            <w:gridCol w:w="1515"/>
            <w:gridCol w:w="454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Target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Partnership Description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Texas State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14400" cy="40957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th-12th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358.2244873046875" w:right="297.8295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work with TSTC to obtain their Level I or Level II certificates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.01745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Cisco College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71525" cy="62865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th-12th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67282867432" w:lineRule="auto"/>
              <w:ind w:left="346.3861083984375" w:right="283.200683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use Cisco College’s academic course offerings to obtain an </w:t>
            </w:r>
            <w:r w:rsidDel="00000000" w:rsidR="00000000" w:rsidRPr="00000000">
              <w:rPr>
                <w:rtl w:val="0"/>
              </w:rPr>
              <w:t xml:space="preserve">associate degree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conjunction with technical learning through TSTC.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Workforce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Solutions of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957405090332" w:lineRule="auto"/>
              <w:ind w:left="204.35623168945312" w:right="155.43853759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West Central Texas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14400" cy="257175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8th-12th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903045654297" w:lineRule="auto"/>
              <w:ind w:left="188.33740234375" w:right="102.6745605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Workforce Solutions works with Merkel ISD to provide career exploration and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6591796875" w:line="229.88957405090332" w:lineRule="auto"/>
              <w:ind w:left="373.13720703125" w:right="326.199951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work-based learning opportunities to all students throughout the district.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625526428223" w:lineRule="auto"/>
              <w:ind w:left="214.61883544921875" w:right="163.5650634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Visualuti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ns, Inc.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14400" cy="238125"/>
                  <wp:effectExtent b="0" l="0" r="0" t="0"/>
                  <wp:docPr id="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11th-12th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921642303467" w:lineRule="auto"/>
              <w:ind w:left="412.003173828125" w:right="340.29663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Visualutions, Inc. </w:t>
            </w:r>
            <w:r w:rsidDel="00000000" w:rsidR="00000000" w:rsidRPr="00000000">
              <w:rPr>
                <w:rtl w:val="0"/>
              </w:rPr>
              <w:t xml:space="preserve">allows students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practice on-the-job skills through shadowing, mentorships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internships.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Rentech Boilers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857250" cy="3175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1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9th-12th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Rentech Boilers helps align curriculum to real-world skill sets required for the workforce and student learning opportunities in job shadowing and internships.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2029.9993896484375" w:top="750" w:left="1430" w:right="14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line="221.12779140472412" w:lineRule="auto"/>
      <w:ind w:left="40" w:right="35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143000" cy="628650"/>
          <wp:effectExtent b="0" l="0" r="0" t="0"/>
          <wp:docPr id="8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1323975" cy="68580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</w:t>
    </w:r>
  </w:p>
  <w:p w:rsidR="00000000" w:rsidDel="00000000" w:rsidP="00000000" w:rsidRDefault="00000000" w:rsidRPr="00000000" w14:paraId="00000027">
    <w:pPr>
      <w:widowControl w:val="0"/>
      <w:spacing w:line="221.12779140472412" w:lineRule="auto"/>
      <w:ind w:left="40" w:right="35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2724150" cy="838200"/>
          <wp:effectExtent b="0" l="0" r="0" t="0"/>
          <wp:docPr id="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41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